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Layout w:type="autofit"/>
        <w:tblCellMar>
          <w:top w:w="0" w:type="dxa"/>
          <w:left w:w="108" w:type="dxa"/>
          <w:bottom w:w="0" w:type="dxa"/>
          <w:right w:w="108" w:type="dxa"/>
        </w:tblCellMar>
      </w:tblPr>
      <w:tblGrid>
        <w:gridCol w:w="653"/>
        <w:gridCol w:w="654"/>
        <w:gridCol w:w="1515"/>
        <w:gridCol w:w="3739"/>
        <w:gridCol w:w="4121"/>
      </w:tblGrid>
      <w:tr>
        <w:tblPrEx>
          <w:tblCellMar>
            <w:top w:w="0" w:type="dxa"/>
            <w:left w:w="108" w:type="dxa"/>
            <w:bottom w:w="0" w:type="dxa"/>
            <w:right w:w="108" w:type="dxa"/>
          </w:tblCellMar>
        </w:tblPrEx>
        <w:trPr>
          <w:trHeight w:val="675" w:hRule="atLeast"/>
        </w:trPr>
        <w:tc>
          <w:tcPr>
            <w:tcW w:w="5000" w:type="pct"/>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5000" w:type="pct"/>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Style w:val="8"/>
                <w:rFonts w:hint="default"/>
              </w:rPr>
              <w:t>年度）</w:t>
            </w:r>
          </w:p>
        </w:tc>
      </w:tr>
      <w:tr>
        <w:tblPrEx>
          <w:tblCellMar>
            <w:top w:w="0" w:type="dxa"/>
            <w:left w:w="108" w:type="dxa"/>
            <w:bottom w:w="0" w:type="dxa"/>
            <w:right w:w="108" w:type="dxa"/>
          </w:tblCellMar>
        </w:tblPrEx>
        <w:trPr>
          <w:trHeight w:val="500" w:hRule="atLeast"/>
        </w:trPr>
        <w:tc>
          <w:tcPr>
            <w:tcW w:w="1321" w:type="pct"/>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36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政府专职消防队伍人员经费</w:t>
            </w:r>
          </w:p>
        </w:tc>
      </w:tr>
      <w:tr>
        <w:tblPrEx>
          <w:tblCellMar>
            <w:top w:w="0" w:type="dxa"/>
            <w:left w:w="108" w:type="dxa"/>
            <w:bottom w:w="0" w:type="dxa"/>
            <w:right w:w="108" w:type="dxa"/>
          </w:tblCellMar>
        </w:tblPrEx>
        <w:trPr>
          <w:trHeight w:val="500" w:hRule="atLeast"/>
        </w:trPr>
        <w:tc>
          <w:tcPr>
            <w:tcW w:w="1321" w:type="pct"/>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36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攀枝花市仁和区消防救援大队</w:t>
            </w:r>
          </w:p>
        </w:tc>
      </w:tr>
      <w:tr>
        <w:tblPrEx>
          <w:tblCellMar>
            <w:top w:w="0" w:type="dxa"/>
            <w:left w:w="108" w:type="dxa"/>
            <w:bottom w:w="0" w:type="dxa"/>
            <w:right w:w="108" w:type="dxa"/>
          </w:tblCellMar>
        </w:tblPrEx>
        <w:trPr>
          <w:trHeight w:val="500" w:hRule="atLeast"/>
        </w:trPr>
        <w:tc>
          <w:tcPr>
            <w:tcW w:w="132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1750"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r>
              <w:rPr>
                <w:rFonts w:hint="eastAsia" w:ascii="宋体" w:hAnsi="宋体" w:eastAsia="宋体" w:cs="宋体"/>
                <w:color w:val="000000"/>
                <w:kern w:val="0"/>
                <w:sz w:val="24"/>
                <w:lang w:eastAsia="zh-CN"/>
              </w:rPr>
              <w:t>：</w:t>
            </w:r>
          </w:p>
        </w:tc>
        <w:tc>
          <w:tcPr>
            <w:tcW w:w="1928"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376</w:t>
            </w:r>
          </w:p>
        </w:tc>
      </w:tr>
      <w:tr>
        <w:tblPrEx>
          <w:tblCellMar>
            <w:top w:w="0" w:type="dxa"/>
            <w:left w:w="108" w:type="dxa"/>
            <w:bottom w:w="0" w:type="dxa"/>
            <w:right w:w="108" w:type="dxa"/>
          </w:tblCellMar>
        </w:tblPrEx>
        <w:trPr>
          <w:trHeight w:val="500" w:hRule="atLeast"/>
        </w:trPr>
        <w:tc>
          <w:tcPr>
            <w:tcW w:w="132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750"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1928"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376</w:t>
            </w:r>
          </w:p>
        </w:tc>
      </w:tr>
      <w:tr>
        <w:tblPrEx>
          <w:tblCellMar>
            <w:top w:w="0" w:type="dxa"/>
            <w:left w:w="108" w:type="dxa"/>
            <w:bottom w:w="0" w:type="dxa"/>
            <w:right w:w="108" w:type="dxa"/>
          </w:tblCellMar>
        </w:tblPrEx>
        <w:trPr>
          <w:trHeight w:val="500" w:hRule="atLeast"/>
        </w:trPr>
        <w:tc>
          <w:tcPr>
            <w:tcW w:w="132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750"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19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0" w:type="dxa"/>
            <w:left w:w="108" w:type="dxa"/>
            <w:bottom w:w="0" w:type="dxa"/>
            <w:right w:w="108" w:type="dxa"/>
          </w:tblCellMar>
        </w:tblPrEx>
        <w:trPr>
          <w:trHeight w:val="2001" w:hRule="atLeast"/>
        </w:trPr>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4693" w:type="pct"/>
            <w:gridSpan w:val="4"/>
            <w:tcBorders>
              <w:top w:val="single" w:color="000000" w:sz="4" w:space="0"/>
              <w:left w:val="single" w:color="000000" w:sz="4" w:space="0"/>
              <w:bottom w:val="single" w:color="000000" w:sz="4" w:space="0"/>
              <w:right w:val="single" w:color="000000" w:sz="4" w:space="0"/>
            </w:tcBorders>
            <w:shd w:val="clear" w:color="auto" w:fill="auto"/>
          </w:tcPr>
          <w:p>
            <w:pPr>
              <w:widowControl/>
              <w:textAlignment w:val="top"/>
              <w:rPr>
                <w:rFonts w:ascii="宋体" w:hAnsi="宋体" w:eastAsia="宋体" w:cs="宋体"/>
                <w:color w:val="000000"/>
                <w:sz w:val="24"/>
              </w:rPr>
            </w:pPr>
            <w:r>
              <w:rPr>
                <w:rFonts w:hint="eastAsia" w:ascii="宋体" w:hAnsi="宋体" w:eastAsia="宋体" w:cs="宋体"/>
                <w:color w:val="000000"/>
                <w:kern w:val="0"/>
                <w:sz w:val="24"/>
              </w:rPr>
              <w:t>进一步规范和加强消防队伍建设管理，保障国家</w:t>
            </w:r>
            <w:r>
              <w:rPr>
                <w:rFonts w:hint="eastAsia" w:ascii="宋体" w:hAnsi="宋体" w:eastAsia="宋体" w:cs="宋体"/>
                <w:color w:val="000000"/>
                <w:kern w:val="0"/>
                <w:sz w:val="24"/>
                <w:lang w:eastAsia="zh-CN"/>
              </w:rPr>
              <w:t>综合性</w:t>
            </w:r>
            <w:r>
              <w:rPr>
                <w:rFonts w:hint="eastAsia" w:ascii="宋体" w:hAnsi="宋体" w:eastAsia="宋体" w:cs="宋体"/>
                <w:color w:val="000000"/>
                <w:kern w:val="0"/>
                <w:sz w:val="24"/>
              </w:rPr>
              <w:t>消防救援队伍地方财政基础绩效奖涉及单位缴费部分社保及公积金</w:t>
            </w: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rPr>
              <w:t>专职消防队伍专职消防员、消防文员工资及保险稳定发放，确保队伍稳定，持续高效推进多种形式消防救援队伍力量，保证专职消防救援队伍时刻处于良好的执勤备战状态，及时有效应对各类火灾、抢险救援以及群众社会救助事件及消防文职、后勤工作展开</w:t>
            </w: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rPr>
              <w:t>处理好各类消防宣传及执法记录工作，确保全区消防工作稳步推进。</w:t>
            </w:r>
          </w:p>
        </w:tc>
      </w:tr>
      <w:tr>
        <w:tblPrEx>
          <w:tblCellMar>
            <w:top w:w="0" w:type="dxa"/>
            <w:left w:w="108" w:type="dxa"/>
            <w:bottom w:w="0" w:type="dxa"/>
            <w:right w:w="108" w:type="dxa"/>
          </w:tblCellMar>
        </w:tblPrEx>
        <w:trPr>
          <w:trHeight w:val="570" w:hRule="atLeast"/>
        </w:trPr>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306"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19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1081"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709"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专职消防队伍人员数量满足《四川省消防救援总队政府专职消防队伍管理暂行规定》</w:t>
            </w:r>
          </w:p>
        </w:tc>
        <w:tc>
          <w:tcPr>
            <w:tcW w:w="19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专职消防员25名、消防文员10名、国家消防救援人员35名</w:t>
            </w:r>
          </w:p>
        </w:tc>
      </w:tr>
      <w:tr>
        <w:tblPrEx>
          <w:tblCellMar>
            <w:top w:w="0" w:type="dxa"/>
            <w:left w:w="108" w:type="dxa"/>
            <w:bottom w:w="0" w:type="dxa"/>
            <w:right w:w="108" w:type="dxa"/>
          </w:tblCellMar>
        </w:tblPrEx>
        <w:trPr>
          <w:trHeight w:val="1409"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709"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lang w:val="en-US" w:eastAsia="zh-CN"/>
              </w:rPr>
              <w:t>发放标准</w:t>
            </w:r>
          </w:p>
        </w:tc>
        <w:tc>
          <w:tcPr>
            <w:tcW w:w="19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宋体" w:hAnsi="宋体" w:eastAsia="宋体" w:cs="宋体"/>
                <w:color w:val="000000"/>
                <w:sz w:val="24"/>
                <w:lang w:val="en-US"/>
              </w:rPr>
            </w:pPr>
            <w:r>
              <w:rPr>
                <w:rFonts w:hint="eastAsia" w:ascii="宋体" w:hAnsi="宋体" w:eastAsia="宋体" w:cs="宋体"/>
                <w:color w:val="000000"/>
                <w:kern w:val="0"/>
                <w:sz w:val="24"/>
                <w:lang w:val="en-US" w:eastAsia="zh-CN"/>
              </w:rPr>
              <w:t>严格按照《四川省政府专职消防队伍工资待遇标准暂行规定》执行</w:t>
            </w:r>
          </w:p>
        </w:tc>
      </w:tr>
      <w:tr>
        <w:tblPrEx>
          <w:tblCellMar>
            <w:top w:w="0" w:type="dxa"/>
            <w:left w:w="108" w:type="dxa"/>
            <w:bottom w:w="0" w:type="dxa"/>
            <w:right w:w="108" w:type="dxa"/>
          </w:tblCellMar>
        </w:tblPrEx>
        <w:trPr>
          <w:trHeight w:val="1442"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709"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工资发放、社会保险及住房公积金缴纳及时性</w:t>
            </w:r>
          </w:p>
        </w:tc>
        <w:tc>
          <w:tcPr>
            <w:tcW w:w="19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全年12个月、35名专职消防员</w:t>
            </w: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lang w:val="en-US" w:eastAsia="zh-CN"/>
              </w:rPr>
              <w:t>35名</w:t>
            </w:r>
            <w:r>
              <w:rPr>
                <w:rFonts w:hint="eastAsia" w:ascii="宋体" w:hAnsi="宋体" w:eastAsia="宋体" w:cs="宋体"/>
                <w:color w:val="000000"/>
                <w:kern w:val="0"/>
                <w:sz w:val="24"/>
              </w:rPr>
              <w:t>国家消防救援人员</w:t>
            </w:r>
          </w:p>
        </w:tc>
      </w:tr>
      <w:tr>
        <w:tblPrEx>
          <w:tblCellMar>
            <w:top w:w="0" w:type="dxa"/>
            <w:left w:w="108" w:type="dxa"/>
            <w:bottom w:w="0" w:type="dxa"/>
            <w:right w:w="108" w:type="dxa"/>
          </w:tblCellMar>
        </w:tblPrEx>
        <w:trPr>
          <w:trHeight w:val="1178"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709"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人员工资及社会保险、公积金支出</w:t>
            </w:r>
          </w:p>
        </w:tc>
        <w:tc>
          <w:tcPr>
            <w:tcW w:w="19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专职队伍人员工资、社保及公积金</w:t>
            </w:r>
            <w:r>
              <w:rPr>
                <w:rFonts w:hint="eastAsia" w:ascii="宋体" w:hAnsi="宋体" w:eastAsia="宋体" w:cs="宋体"/>
                <w:color w:val="000000"/>
                <w:kern w:val="0"/>
                <w:sz w:val="24"/>
              </w:rPr>
              <w:t>3</w:t>
            </w:r>
            <w:r>
              <w:rPr>
                <w:rFonts w:hint="eastAsia" w:ascii="宋体" w:hAnsi="宋体" w:eastAsia="宋体" w:cs="宋体"/>
                <w:color w:val="000000"/>
                <w:kern w:val="0"/>
                <w:sz w:val="24"/>
                <w:lang w:val="en-US" w:eastAsia="zh-CN"/>
              </w:rPr>
              <w:t>32</w:t>
            </w:r>
            <w:r>
              <w:rPr>
                <w:rFonts w:hint="eastAsia" w:ascii="宋体" w:hAnsi="宋体" w:eastAsia="宋体" w:cs="宋体"/>
                <w:color w:val="000000"/>
                <w:kern w:val="0"/>
                <w:sz w:val="24"/>
              </w:rPr>
              <w:t>万元</w:t>
            </w: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rPr>
              <w:t>国家性综合消防救援队伍地方财政基础绩效奖涉及单位缴费部分社保及公积金44万元</w:t>
            </w:r>
          </w:p>
        </w:tc>
      </w:tr>
      <w:tr>
        <w:tblPrEx>
          <w:tblCellMar>
            <w:top w:w="0" w:type="dxa"/>
            <w:left w:w="108" w:type="dxa"/>
            <w:bottom w:w="0" w:type="dxa"/>
            <w:right w:w="108" w:type="dxa"/>
          </w:tblCellMar>
        </w:tblPrEx>
        <w:trPr>
          <w:trHeight w:val="60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709"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eastAsia="zh-CN"/>
              </w:rPr>
              <w:t>人员执勤战备状态</w:t>
            </w:r>
          </w:p>
        </w:tc>
        <w:tc>
          <w:tcPr>
            <w:tcW w:w="19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人员时刻处于良好的执勤战备状态，做好本职工作，提升队伍形象良好</w:t>
            </w:r>
          </w:p>
        </w:tc>
      </w:tr>
      <w:tr>
        <w:tblPrEx>
          <w:tblCellMar>
            <w:top w:w="0" w:type="dxa"/>
            <w:left w:w="108" w:type="dxa"/>
            <w:bottom w:w="0" w:type="dxa"/>
            <w:right w:w="108" w:type="dxa"/>
          </w:tblCellMar>
        </w:tblPrEx>
        <w:trPr>
          <w:trHeight w:val="114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75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eastAsia="zh-CN"/>
              </w:rPr>
              <w:t>党委、政府</w:t>
            </w:r>
            <w:r>
              <w:rPr>
                <w:rFonts w:hint="eastAsia" w:ascii="宋体" w:hAnsi="宋体" w:eastAsia="宋体" w:cs="宋体"/>
                <w:color w:val="000000"/>
                <w:kern w:val="0"/>
                <w:sz w:val="24"/>
              </w:rPr>
              <w:t>和人民群众满意</w:t>
            </w:r>
          </w:p>
        </w:tc>
        <w:tc>
          <w:tcPr>
            <w:tcW w:w="19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≥90%</w:t>
            </w:r>
          </w:p>
        </w:tc>
      </w:tr>
    </w:tbl>
    <w:p>
      <w:r>
        <w:br w:type="page"/>
      </w:r>
    </w:p>
    <w:tbl>
      <w:tblPr>
        <w:tblStyle w:val="4"/>
        <w:tblW w:w="5000" w:type="pct"/>
        <w:tblInd w:w="0" w:type="dxa"/>
        <w:tblLayout w:type="autofit"/>
        <w:tblCellMar>
          <w:top w:w="0" w:type="dxa"/>
          <w:left w:w="108" w:type="dxa"/>
          <w:bottom w:w="0" w:type="dxa"/>
          <w:right w:w="108" w:type="dxa"/>
        </w:tblCellMar>
      </w:tblPr>
      <w:tblGrid>
        <w:gridCol w:w="654"/>
        <w:gridCol w:w="654"/>
        <w:gridCol w:w="1551"/>
        <w:gridCol w:w="3119"/>
        <w:gridCol w:w="703"/>
        <w:gridCol w:w="4001"/>
      </w:tblGrid>
      <w:tr>
        <w:tblPrEx>
          <w:tblCellMar>
            <w:top w:w="0" w:type="dxa"/>
            <w:left w:w="108" w:type="dxa"/>
            <w:bottom w:w="0" w:type="dxa"/>
            <w:right w:w="108" w:type="dxa"/>
          </w:tblCellMar>
        </w:tblPrEx>
        <w:trPr>
          <w:trHeight w:val="675" w:hRule="atLeast"/>
        </w:trPr>
        <w:tc>
          <w:tcPr>
            <w:tcW w:w="5000" w:type="pct"/>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5000" w:type="pct"/>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rPr>
              <w:t>6</w:t>
            </w:r>
            <w:r>
              <w:rPr>
                <w:rFonts w:hint="eastAsia" w:ascii="宋体" w:hAnsi="宋体" w:eastAsia="宋体" w:cs="宋体"/>
                <w:color w:val="000000"/>
                <w:kern w:val="0"/>
                <w:sz w:val="24"/>
              </w:rPr>
              <w:t>年度）</w:t>
            </w:r>
          </w:p>
        </w:tc>
      </w:tr>
      <w:tr>
        <w:tblPrEx>
          <w:tblCellMar>
            <w:top w:w="0" w:type="dxa"/>
            <w:left w:w="108" w:type="dxa"/>
            <w:bottom w:w="0" w:type="dxa"/>
            <w:right w:w="108" w:type="dxa"/>
          </w:tblCellMar>
        </w:tblPrEx>
        <w:trPr>
          <w:trHeight w:val="544" w:hRule="atLeast"/>
        </w:trPr>
        <w:tc>
          <w:tcPr>
            <w:tcW w:w="1338" w:type="pct"/>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36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消防救援队伍业务经费</w:t>
            </w:r>
          </w:p>
        </w:tc>
      </w:tr>
      <w:tr>
        <w:tblPrEx>
          <w:tblCellMar>
            <w:top w:w="0" w:type="dxa"/>
            <w:left w:w="108" w:type="dxa"/>
            <w:bottom w:w="0" w:type="dxa"/>
            <w:right w:w="108" w:type="dxa"/>
          </w:tblCellMar>
        </w:tblPrEx>
        <w:trPr>
          <w:trHeight w:val="544" w:hRule="atLeast"/>
        </w:trPr>
        <w:tc>
          <w:tcPr>
            <w:tcW w:w="1338" w:type="pct"/>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36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攀枝花市仁和区消防救援大队</w:t>
            </w:r>
          </w:p>
        </w:tc>
      </w:tr>
      <w:tr>
        <w:tblPrEx>
          <w:tblCellMar>
            <w:top w:w="0" w:type="dxa"/>
            <w:left w:w="108" w:type="dxa"/>
            <w:bottom w:w="0" w:type="dxa"/>
            <w:right w:w="108" w:type="dxa"/>
          </w:tblCellMar>
        </w:tblPrEx>
        <w:trPr>
          <w:trHeight w:val="544" w:hRule="atLeast"/>
        </w:trPr>
        <w:tc>
          <w:tcPr>
            <w:tcW w:w="133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1789" w:type="pct"/>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1873"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155</w:t>
            </w:r>
          </w:p>
        </w:tc>
      </w:tr>
      <w:tr>
        <w:tblPrEx>
          <w:tblCellMar>
            <w:top w:w="0" w:type="dxa"/>
            <w:left w:w="108" w:type="dxa"/>
            <w:bottom w:w="0" w:type="dxa"/>
            <w:right w:w="108" w:type="dxa"/>
          </w:tblCellMar>
        </w:tblPrEx>
        <w:trPr>
          <w:trHeight w:val="544" w:hRule="atLeast"/>
        </w:trPr>
        <w:tc>
          <w:tcPr>
            <w:tcW w:w="133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789" w:type="pct"/>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1873" w:type="pct"/>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eastAsia="宋体" w:cs="宋体"/>
                <w:color w:val="000000"/>
                <w:sz w:val="24"/>
              </w:rPr>
            </w:pPr>
            <w:r>
              <w:rPr>
                <w:rFonts w:hint="eastAsia" w:ascii="宋体" w:hAnsi="宋体" w:eastAsia="宋体" w:cs="宋体"/>
                <w:color w:val="000000"/>
                <w:sz w:val="24"/>
              </w:rPr>
              <w:t>155</w:t>
            </w:r>
          </w:p>
        </w:tc>
      </w:tr>
      <w:tr>
        <w:tblPrEx>
          <w:tblCellMar>
            <w:top w:w="0" w:type="dxa"/>
            <w:left w:w="108" w:type="dxa"/>
            <w:bottom w:w="0" w:type="dxa"/>
            <w:right w:w="108" w:type="dxa"/>
          </w:tblCellMar>
        </w:tblPrEx>
        <w:trPr>
          <w:trHeight w:val="544" w:hRule="atLeast"/>
        </w:trPr>
        <w:tc>
          <w:tcPr>
            <w:tcW w:w="133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789" w:type="pct"/>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0" w:type="dxa"/>
            <w:left w:w="108" w:type="dxa"/>
            <w:bottom w:w="0" w:type="dxa"/>
            <w:right w:w="108" w:type="dxa"/>
          </w:tblCellMar>
        </w:tblPrEx>
        <w:trPr>
          <w:trHeight w:val="1901" w:hRule="atLeast"/>
        </w:trPr>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4694" w:type="pct"/>
            <w:gridSpan w:val="5"/>
            <w:tcBorders>
              <w:top w:val="single" w:color="000000" w:sz="4" w:space="0"/>
              <w:left w:val="single" w:color="000000" w:sz="4" w:space="0"/>
              <w:bottom w:val="single" w:color="000000" w:sz="4" w:space="0"/>
              <w:right w:val="single" w:color="000000" w:sz="4" w:space="0"/>
            </w:tcBorders>
            <w:shd w:val="clear" w:color="auto" w:fill="auto"/>
          </w:tcPr>
          <w:p>
            <w:pPr>
              <w:widowControl/>
              <w:textAlignment w:val="top"/>
              <w:rPr>
                <w:rFonts w:ascii="宋体" w:hAnsi="宋体" w:eastAsia="宋体" w:cs="宋体"/>
                <w:color w:val="000000"/>
                <w:sz w:val="24"/>
              </w:rPr>
            </w:pPr>
            <w:r>
              <w:rPr>
                <w:rFonts w:hint="eastAsia" w:ascii="宋体" w:hAnsi="宋体" w:eastAsia="宋体" w:cs="宋体"/>
                <w:color w:val="000000"/>
                <w:kern w:val="0"/>
                <w:sz w:val="24"/>
              </w:rPr>
              <w:t>保障全区消防救援队伍正常运行，经费内容包含：国家性综合消防救援队伍人员培训、技能鉴定、差旅报销、健康体检、水电费、营房维修、专用材料费、专用燃料、车辆器材检修、器材装备购置、办公设备采购、印刷、宣传、物资储备、邮电费等公用经费，确保队伍时刻处于良好的执勤备战状态，及时有效应对各类火灾、抢险救援以及群众社会救助事件。</w:t>
            </w:r>
          </w:p>
        </w:tc>
      </w:tr>
      <w:tr>
        <w:tblPrEx>
          <w:tblCellMar>
            <w:top w:w="0" w:type="dxa"/>
            <w:left w:w="108" w:type="dxa"/>
            <w:bottom w:w="0" w:type="dxa"/>
            <w:right w:w="108" w:type="dxa"/>
          </w:tblCellMar>
        </w:tblPrEx>
        <w:trPr>
          <w:trHeight w:val="570" w:hRule="atLeast"/>
        </w:trPr>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306"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14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2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60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726"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14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全区城乡消防救援人员</w:t>
            </w:r>
          </w:p>
        </w:tc>
        <w:tc>
          <w:tcPr>
            <w:tcW w:w="2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消防指战员编制数53人</w:t>
            </w:r>
          </w:p>
        </w:tc>
      </w:tr>
      <w:tr>
        <w:tblPrEx>
          <w:tblCellMar>
            <w:top w:w="0" w:type="dxa"/>
            <w:left w:w="108" w:type="dxa"/>
            <w:bottom w:w="0" w:type="dxa"/>
            <w:right w:w="108" w:type="dxa"/>
          </w:tblCellMar>
        </w:tblPrEx>
        <w:trPr>
          <w:trHeight w:val="769"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6"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14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基本满足队伍的正常办公、生活、采编需求</w:t>
            </w:r>
          </w:p>
        </w:tc>
        <w:tc>
          <w:tcPr>
            <w:tcW w:w="2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100%</w:t>
            </w:r>
          </w:p>
        </w:tc>
      </w:tr>
      <w:tr>
        <w:tblPrEx>
          <w:tblCellMar>
            <w:top w:w="0" w:type="dxa"/>
            <w:left w:w="108" w:type="dxa"/>
            <w:bottom w:w="0" w:type="dxa"/>
            <w:right w:w="108" w:type="dxa"/>
          </w:tblCellMar>
        </w:tblPrEx>
        <w:trPr>
          <w:trHeight w:val="60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6"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14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预算执行期间</w:t>
            </w:r>
          </w:p>
        </w:tc>
        <w:tc>
          <w:tcPr>
            <w:tcW w:w="2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2026年</w:t>
            </w:r>
          </w:p>
        </w:tc>
      </w:tr>
      <w:tr>
        <w:tblPrEx>
          <w:tblCellMar>
            <w:top w:w="0" w:type="dxa"/>
            <w:left w:w="108" w:type="dxa"/>
            <w:bottom w:w="0" w:type="dxa"/>
            <w:right w:w="108" w:type="dxa"/>
          </w:tblCellMar>
        </w:tblPrEx>
        <w:trPr>
          <w:trHeight w:val="60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726"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14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sz w:val="24"/>
              </w:rPr>
              <w:t>参照《财政部关于印发〈地方消防经费管理办法〉的通知》标准执行</w:t>
            </w:r>
          </w:p>
        </w:tc>
        <w:tc>
          <w:tcPr>
            <w:tcW w:w="2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按人均2.93万元/年.人标准执行，人员53人，合计155万元,其中:</w:t>
            </w:r>
            <w:r>
              <w:rPr>
                <w:rFonts w:hint="eastAsia"/>
              </w:rPr>
              <w:t xml:space="preserve"> </w:t>
            </w:r>
            <w:r>
              <w:rPr>
                <w:rFonts w:hint="eastAsia" w:ascii="宋体" w:hAnsi="宋体" w:eastAsia="宋体" w:cs="宋体"/>
                <w:color w:val="000000"/>
                <w:kern w:val="0"/>
                <w:sz w:val="24"/>
              </w:rPr>
              <w:t>办公费8万元、邮电费16万元、培训费6万元、差旅费4万元、公务用车运行维护费8万元、专用燃料费10万元、电费14万元、水费5万元、印刷费6万元、维修（护）费25万元、物资储备5万元、健康体检6万元、宣传费7万元、装备器材购置35万元</w:t>
            </w:r>
          </w:p>
        </w:tc>
      </w:tr>
      <w:tr>
        <w:tblPrEx>
          <w:tblCellMar>
            <w:top w:w="0" w:type="dxa"/>
            <w:left w:w="108" w:type="dxa"/>
            <w:bottom w:w="0" w:type="dxa"/>
            <w:right w:w="108" w:type="dxa"/>
          </w:tblCellMar>
        </w:tblPrEx>
        <w:trPr>
          <w:trHeight w:val="60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tcBorders>
              <w:top w:val="nil"/>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726"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4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人员时刻处于良好的执勤战备状态，做好本职工作，提升队伍形象</w:t>
            </w:r>
          </w:p>
        </w:tc>
        <w:tc>
          <w:tcPr>
            <w:tcW w:w="2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良好</w:t>
            </w:r>
          </w:p>
        </w:tc>
      </w:tr>
      <w:tr>
        <w:tblPrEx>
          <w:tblCellMar>
            <w:top w:w="0" w:type="dxa"/>
            <w:left w:w="108" w:type="dxa"/>
            <w:bottom w:w="0" w:type="dxa"/>
            <w:right w:w="108" w:type="dxa"/>
          </w:tblCellMar>
        </w:tblPrEx>
        <w:trPr>
          <w:trHeight w:val="1140" w:hRule="atLeast"/>
        </w:trPr>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4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党委、政府和人民群众满意</w:t>
            </w:r>
          </w:p>
        </w:tc>
        <w:tc>
          <w:tcPr>
            <w:tcW w:w="22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≥90%</w:t>
            </w:r>
          </w:p>
        </w:tc>
      </w:tr>
    </w:tbl>
    <w:p/>
    <w:p>
      <w:bookmarkStart w:id="0" w:name="_GoBack"/>
      <w:bookmarkEnd w:id="0"/>
    </w:p>
    <w:p/>
    <w:p/>
    <w:p/>
    <w:p/>
    <w:p/>
    <w:p/>
    <w:tbl>
      <w:tblPr>
        <w:tblStyle w:val="4"/>
        <w:tblW w:w="5000" w:type="pct"/>
        <w:tblInd w:w="0" w:type="dxa"/>
        <w:tblLayout w:type="autofit"/>
        <w:tblCellMar>
          <w:top w:w="0" w:type="dxa"/>
          <w:left w:w="108" w:type="dxa"/>
          <w:bottom w:w="0" w:type="dxa"/>
          <w:right w:w="108" w:type="dxa"/>
        </w:tblCellMar>
      </w:tblPr>
      <w:tblGrid>
        <w:gridCol w:w="651"/>
        <w:gridCol w:w="654"/>
        <w:gridCol w:w="1468"/>
        <w:gridCol w:w="3920"/>
        <w:gridCol w:w="3989"/>
      </w:tblGrid>
      <w:tr>
        <w:tblPrEx>
          <w:tblCellMar>
            <w:top w:w="0" w:type="dxa"/>
            <w:left w:w="108" w:type="dxa"/>
            <w:bottom w:w="0" w:type="dxa"/>
            <w:right w:w="108" w:type="dxa"/>
          </w:tblCellMar>
        </w:tblPrEx>
        <w:trPr>
          <w:trHeight w:val="675" w:hRule="atLeast"/>
        </w:trPr>
        <w:tc>
          <w:tcPr>
            <w:tcW w:w="5000" w:type="pct"/>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5000" w:type="pct"/>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tblPrEx>
          <w:tblCellMar>
            <w:top w:w="0" w:type="dxa"/>
            <w:left w:w="108" w:type="dxa"/>
            <w:bottom w:w="0" w:type="dxa"/>
            <w:right w:w="108" w:type="dxa"/>
          </w:tblCellMar>
        </w:tblPrEx>
        <w:trPr>
          <w:trHeight w:val="544" w:hRule="atLeast"/>
        </w:trPr>
        <w:tc>
          <w:tcPr>
            <w:tcW w:w="1298" w:type="pct"/>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37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地方专职队伍业务经费</w:t>
            </w:r>
          </w:p>
        </w:tc>
      </w:tr>
      <w:tr>
        <w:tblPrEx>
          <w:tblCellMar>
            <w:top w:w="0" w:type="dxa"/>
            <w:left w:w="108" w:type="dxa"/>
            <w:bottom w:w="0" w:type="dxa"/>
            <w:right w:w="108" w:type="dxa"/>
          </w:tblCellMar>
        </w:tblPrEx>
        <w:trPr>
          <w:trHeight w:val="544" w:hRule="atLeast"/>
        </w:trPr>
        <w:tc>
          <w:tcPr>
            <w:tcW w:w="1298" w:type="pct"/>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37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攀枝花市仁和区消防救援大队</w:t>
            </w:r>
          </w:p>
        </w:tc>
      </w:tr>
      <w:tr>
        <w:tblPrEx>
          <w:tblCellMar>
            <w:top w:w="0" w:type="dxa"/>
            <w:left w:w="108" w:type="dxa"/>
            <w:bottom w:w="0" w:type="dxa"/>
            <w:right w:w="108" w:type="dxa"/>
          </w:tblCellMar>
        </w:tblPrEx>
        <w:trPr>
          <w:trHeight w:val="544" w:hRule="atLeast"/>
        </w:trPr>
        <w:tc>
          <w:tcPr>
            <w:tcW w:w="129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1835"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r>
              <w:rPr>
                <w:rFonts w:hint="eastAsia" w:ascii="宋体" w:hAnsi="宋体" w:eastAsia="宋体" w:cs="宋体"/>
                <w:color w:val="000000"/>
                <w:kern w:val="0"/>
                <w:sz w:val="24"/>
                <w:lang w:eastAsia="zh-CN"/>
              </w:rPr>
              <w:t>：</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top"/>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35.36</w:t>
            </w:r>
          </w:p>
        </w:tc>
      </w:tr>
      <w:tr>
        <w:tblPrEx>
          <w:tblCellMar>
            <w:top w:w="0" w:type="dxa"/>
            <w:left w:w="108" w:type="dxa"/>
            <w:bottom w:w="0" w:type="dxa"/>
            <w:right w:w="108" w:type="dxa"/>
          </w:tblCellMar>
        </w:tblPrEx>
        <w:trPr>
          <w:trHeight w:val="544" w:hRule="atLeast"/>
        </w:trPr>
        <w:tc>
          <w:tcPr>
            <w:tcW w:w="129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35"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top"/>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35.36</w:t>
            </w:r>
          </w:p>
        </w:tc>
      </w:tr>
      <w:tr>
        <w:tblPrEx>
          <w:tblCellMar>
            <w:top w:w="0" w:type="dxa"/>
            <w:left w:w="108" w:type="dxa"/>
            <w:bottom w:w="0" w:type="dxa"/>
            <w:right w:w="108" w:type="dxa"/>
          </w:tblCellMar>
        </w:tblPrEx>
        <w:trPr>
          <w:trHeight w:val="544" w:hRule="atLeast"/>
        </w:trPr>
        <w:tc>
          <w:tcPr>
            <w:tcW w:w="129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35"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0" w:type="dxa"/>
            <w:left w:w="108" w:type="dxa"/>
            <w:bottom w:w="0" w:type="dxa"/>
            <w:right w:w="108" w:type="dxa"/>
          </w:tblCellMar>
        </w:tblPrEx>
        <w:trPr>
          <w:trHeight w:val="2690" w:hRule="atLeast"/>
        </w:trPr>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4694" w:type="pct"/>
            <w:gridSpan w:val="4"/>
            <w:tcBorders>
              <w:top w:val="single" w:color="000000" w:sz="4" w:space="0"/>
              <w:left w:val="single" w:color="000000" w:sz="4" w:space="0"/>
              <w:bottom w:val="single" w:color="000000" w:sz="4" w:space="0"/>
              <w:right w:val="single" w:color="000000" w:sz="4" w:space="0"/>
            </w:tcBorders>
            <w:shd w:val="clear" w:color="auto" w:fill="auto"/>
          </w:tcPr>
          <w:p>
            <w:pPr>
              <w:widowControl/>
              <w:textAlignment w:val="top"/>
              <w:rPr>
                <w:rFonts w:ascii="宋体" w:hAnsi="宋体" w:eastAsia="宋体" w:cs="宋体"/>
                <w:color w:val="000000"/>
                <w:sz w:val="24"/>
              </w:rPr>
            </w:pPr>
            <w:r>
              <w:rPr>
                <w:rFonts w:hint="eastAsia" w:ascii="宋体" w:hAnsi="宋体" w:eastAsia="宋体" w:cs="宋体"/>
                <w:color w:val="000000"/>
                <w:kern w:val="0"/>
                <w:sz w:val="24"/>
              </w:rPr>
              <w:t>进一步规范和加强专职消防队伍建设管理，确保队伍稳定，持续高效推进多种形式消防救援队伍力量及消防文职、后勤工作展开，协助处理好各类消防宣传及执法记录工作，业务保障经费内容涉及办公费、印</w:t>
            </w:r>
            <w:r>
              <w:rPr>
                <w:rFonts w:hint="eastAsia" w:ascii="宋体" w:hAnsi="宋体" w:eastAsia="宋体" w:cs="宋体"/>
                <w:color w:val="000000"/>
                <w:kern w:val="0"/>
                <w:sz w:val="24"/>
                <w:lang w:eastAsia="zh-CN"/>
              </w:rPr>
              <w:t>刷费</w:t>
            </w:r>
            <w:r>
              <w:rPr>
                <w:rFonts w:hint="eastAsia" w:ascii="宋体" w:hAnsi="宋体" w:eastAsia="宋体" w:cs="宋体"/>
                <w:color w:val="000000"/>
                <w:kern w:val="0"/>
                <w:sz w:val="24"/>
              </w:rPr>
              <w:t>、健康体检、水费、电费、邮电费、差旅费、培训、维修费、专用材料费、被装购置费、专用燃料费、工会经费、其他商品和服务支出、办公设备购置等，保证专职消防救援队伍时刻处于良好的执勤备战状态，及时有效应对各类火灾、抢险救援以及群众社会救助事件。</w:t>
            </w:r>
          </w:p>
        </w:tc>
      </w:tr>
      <w:tr>
        <w:tblPrEx>
          <w:tblCellMar>
            <w:top w:w="0" w:type="dxa"/>
            <w:left w:w="108" w:type="dxa"/>
            <w:bottom w:w="0" w:type="dxa"/>
            <w:right w:w="108" w:type="dxa"/>
          </w:tblCellMar>
        </w:tblPrEx>
        <w:trPr>
          <w:trHeight w:val="570" w:hRule="atLeast"/>
        </w:trPr>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306"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600"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687"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eastAsia="zh-CN"/>
              </w:rPr>
              <w:t>人员编制要求</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eastAsia="zh-CN"/>
              </w:rPr>
              <w:t>按</w:t>
            </w:r>
            <w:r>
              <w:rPr>
                <w:rFonts w:hint="eastAsia" w:ascii="宋体" w:hAnsi="宋体" w:eastAsia="宋体" w:cs="宋体"/>
                <w:color w:val="000000"/>
                <w:kern w:val="0"/>
                <w:sz w:val="24"/>
              </w:rPr>
              <w:t>专职消防队伍人员数量满足《四川省消防救援总队政府专职消防队伍管理暂行规定》</w:t>
            </w:r>
            <w:r>
              <w:rPr>
                <w:rFonts w:hint="eastAsia" w:ascii="宋体" w:hAnsi="宋体" w:eastAsia="宋体" w:cs="宋体"/>
                <w:color w:val="000000"/>
                <w:kern w:val="0"/>
                <w:sz w:val="24"/>
                <w:lang w:eastAsia="zh-CN"/>
              </w:rPr>
              <w:t>为</w:t>
            </w:r>
            <w:r>
              <w:rPr>
                <w:rFonts w:hint="eastAsia" w:ascii="宋体" w:hAnsi="宋体" w:eastAsia="宋体" w:cs="宋体"/>
                <w:color w:val="000000"/>
                <w:kern w:val="0"/>
                <w:sz w:val="24"/>
              </w:rPr>
              <w:t>35名</w:t>
            </w:r>
          </w:p>
        </w:tc>
      </w:tr>
      <w:tr>
        <w:tblPrEx>
          <w:tblCellMar>
            <w:top w:w="0" w:type="dxa"/>
            <w:left w:w="108" w:type="dxa"/>
            <w:bottom w:w="0" w:type="dxa"/>
            <w:right w:w="108" w:type="dxa"/>
          </w:tblCellMar>
        </w:tblPrEx>
        <w:trPr>
          <w:trHeight w:val="769"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687"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rPr>
              <w:t>队伍</w:t>
            </w:r>
            <w:r>
              <w:rPr>
                <w:rFonts w:hint="eastAsia" w:ascii="宋体" w:hAnsi="宋体" w:eastAsia="宋体" w:cs="宋体"/>
                <w:color w:val="000000"/>
                <w:kern w:val="0"/>
                <w:sz w:val="24"/>
                <w:lang w:eastAsia="zh-CN"/>
              </w:rPr>
              <w:t>保障情况</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基本满足队伍的正常办公、生活、采编需求</w:t>
            </w:r>
            <w:r>
              <w:rPr>
                <w:rFonts w:hint="eastAsia" w:ascii="宋体" w:hAnsi="宋体" w:eastAsia="宋体" w:cs="宋体"/>
                <w:color w:val="000000"/>
                <w:kern w:val="0"/>
                <w:sz w:val="24"/>
                <w:lang w:eastAsia="zh-CN"/>
              </w:rPr>
              <w:t>达到</w:t>
            </w:r>
            <w:r>
              <w:rPr>
                <w:rFonts w:hint="eastAsia" w:ascii="宋体" w:hAnsi="宋体" w:eastAsia="宋体" w:cs="宋体"/>
                <w:color w:val="000000"/>
                <w:kern w:val="0"/>
                <w:sz w:val="24"/>
              </w:rPr>
              <w:t>100%</w:t>
            </w:r>
          </w:p>
        </w:tc>
      </w:tr>
      <w:tr>
        <w:tblPrEx>
          <w:tblCellMar>
            <w:top w:w="0" w:type="dxa"/>
            <w:left w:w="108" w:type="dxa"/>
            <w:bottom w:w="0" w:type="dxa"/>
            <w:right w:w="108" w:type="dxa"/>
          </w:tblCellMar>
        </w:tblPrEx>
        <w:trPr>
          <w:trHeight w:val="600"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687"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预算执行期间</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w:t>
            </w:r>
          </w:p>
        </w:tc>
      </w:tr>
      <w:tr>
        <w:tblPrEx>
          <w:tblCellMar>
            <w:top w:w="0" w:type="dxa"/>
            <w:left w:w="108" w:type="dxa"/>
            <w:bottom w:w="0" w:type="dxa"/>
            <w:right w:w="108" w:type="dxa"/>
          </w:tblCellMar>
        </w:tblPrEx>
        <w:trPr>
          <w:trHeight w:val="802"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687"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业务经费保障支出</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35.36</w:t>
            </w:r>
            <w:r>
              <w:rPr>
                <w:rFonts w:hint="eastAsia" w:ascii="宋体" w:hAnsi="宋体" w:eastAsia="宋体" w:cs="宋体"/>
                <w:color w:val="000000"/>
                <w:kern w:val="0"/>
                <w:sz w:val="24"/>
              </w:rPr>
              <w:t>万元</w:t>
            </w:r>
          </w:p>
        </w:tc>
      </w:tr>
      <w:tr>
        <w:tblPrEx>
          <w:tblCellMar>
            <w:top w:w="0" w:type="dxa"/>
            <w:left w:w="108" w:type="dxa"/>
            <w:bottom w:w="0" w:type="dxa"/>
            <w:right w:w="108" w:type="dxa"/>
          </w:tblCellMar>
        </w:tblPrEx>
        <w:trPr>
          <w:trHeight w:val="600"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tcBorders>
              <w:top w:val="nil"/>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687"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人员执勤战备状态</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人员时刻处于良好的执勤战备状态，做好本职工作，提升队伍形象</w:t>
            </w:r>
          </w:p>
        </w:tc>
      </w:tr>
      <w:tr>
        <w:tblPrEx>
          <w:tblCellMar>
            <w:top w:w="0" w:type="dxa"/>
            <w:left w:w="108" w:type="dxa"/>
            <w:bottom w:w="0" w:type="dxa"/>
            <w:right w:w="108" w:type="dxa"/>
          </w:tblCellMar>
        </w:tblPrEx>
        <w:trPr>
          <w:trHeight w:val="1140"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eastAsia="zh-CN"/>
              </w:rPr>
              <w:t>党委、政府</w:t>
            </w:r>
            <w:r>
              <w:rPr>
                <w:rFonts w:hint="eastAsia" w:ascii="宋体" w:hAnsi="宋体" w:eastAsia="宋体" w:cs="宋体"/>
                <w:color w:val="000000"/>
                <w:kern w:val="0"/>
                <w:sz w:val="24"/>
              </w:rPr>
              <w:t>和人民群众满意</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≥90%</w:t>
            </w:r>
          </w:p>
        </w:tc>
      </w:tr>
    </w:tbl>
    <w:p/>
    <w:p/>
    <w:p/>
    <w:p/>
    <w:p/>
    <w:tbl>
      <w:tblPr>
        <w:tblStyle w:val="4"/>
        <w:tblW w:w="5000" w:type="pct"/>
        <w:tblInd w:w="0" w:type="dxa"/>
        <w:tblLayout w:type="autofit"/>
        <w:tblCellMar>
          <w:top w:w="0" w:type="dxa"/>
          <w:left w:w="108" w:type="dxa"/>
          <w:bottom w:w="0" w:type="dxa"/>
          <w:right w:w="108" w:type="dxa"/>
        </w:tblCellMar>
      </w:tblPr>
      <w:tblGrid>
        <w:gridCol w:w="651"/>
        <w:gridCol w:w="654"/>
        <w:gridCol w:w="1468"/>
        <w:gridCol w:w="3920"/>
        <w:gridCol w:w="3989"/>
      </w:tblGrid>
      <w:tr>
        <w:tblPrEx>
          <w:tblCellMar>
            <w:top w:w="0" w:type="dxa"/>
            <w:left w:w="108" w:type="dxa"/>
            <w:bottom w:w="0" w:type="dxa"/>
            <w:right w:w="108" w:type="dxa"/>
          </w:tblCellMar>
        </w:tblPrEx>
        <w:trPr>
          <w:trHeight w:val="675" w:hRule="atLeast"/>
        </w:trPr>
        <w:tc>
          <w:tcPr>
            <w:tcW w:w="5000" w:type="pct"/>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5000" w:type="pct"/>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tblPrEx>
          <w:tblCellMar>
            <w:top w:w="0" w:type="dxa"/>
            <w:left w:w="108" w:type="dxa"/>
            <w:bottom w:w="0" w:type="dxa"/>
            <w:right w:w="108" w:type="dxa"/>
          </w:tblCellMar>
        </w:tblPrEx>
        <w:trPr>
          <w:trHeight w:val="544" w:hRule="atLeast"/>
        </w:trPr>
        <w:tc>
          <w:tcPr>
            <w:tcW w:w="1298" w:type="pct"/>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37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lang w:val="en-US" w:eastAsia="zh-CN"/>
              </w:rPr>
              <w:t>政府专职消防救援队伍伙食补助费</w:t>
            </w:r>
          </w:p>
        </w:tc>
      </w:tr>
      <w:tr>
        <w:tblPrEx>
          <w:tblCellMar>
            <w:top w:w="0" w:type="dxa"/>
            <w:left w:w="108" w:type="dxa"/>
            <w:bottom w:w="0" w:type="dxa"/>
            <w:right w:w="108" w:type="dxa"/>
          </w:tblCellMar>
        </w:tblPrEx>
        <w:trPr>
          <w:trHeight w:val="544" w:hRule="atLeast"/>
        </w:trPr>
        <w:tc>
          <w:tcPr>
            <w:tcW w:w="1298" w:type="pct"/>
            <w:gridSpan w:val="3"/>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370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攀枝花市仁和区消防救援大队</w:t>
            </w:r>
          </w:p>
        </w:tc>
      </w:tr>
      <w:tr>
        <w:tblPrEx>
          <w:tblCellMar>
            <w:top w:w="0" w:type="dxa"/>
            <w:left w:w="108" w:type="dxa"/>
            <w:bottom w:w="0" w:type="dxa"/>
            <w:right w:w="108" w:type="dxa"/>
          </w:tblCellMar>
        </w:tblPrEx>
        <w:trPr>
          <w:trHeight w:val="544" w:hRule="atLeast"/>
        </w:trPr>
        <w:tc>
          <w:tcPr>
            <w:tcW w:w="129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1835"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r>
              <w:rPr>
                <w:rFonts w:hint="eastAsia" w:ascii="宋体" w:hAnsi="宋体" w:eastAsia="宋体" w:cs="宋体"/>
                <w:color w:val="000000"/>
                <w:kern w:val="0"/>
                <w:sz w:val="24"/>
                <w:lang w:eastAsia="zh-CN"/>
              </w:rPr>
              <w:t>：</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top"/>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34.64</w:t>
            </w:r>
          </w:p>
        </w:tc>
      </w:tr>
      <w:tr>
        <w:tblPrEx>
          <w:tblCellMar>
            <w:top w:w="0" w:type="dxa"/>
            <w:left w:w="108" w:type="dxa"/>
            <w:bottom w:w="0" w:type="dxa"/>
            <w:right w:w="108" w:type="dxa"/>
          </w:tblCellMar>
        </w:tblPrEx>
        <w:trPr>
          <w:trHeight w:val="544" w:hRule="atLeast"/>
        </w:trPr>
        <w:tc>
          <w:tcPr>
            <w:tcW w:w="129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35"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top"/>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34.64</w:t>
            </w:r>
          </w:p>
        </w:tc>
      </w:tr>
      <w:tr>
        <w:tblPrEx>
          <w:tblCellMar>
            <w:top w:w="0" w:type="dxa"/>
            <w:left w:w="108" w:type="dxa"/>
            <w:bottom w:w="0" w:type="dxa"/>
            <w:right w:w="108" w:type="dxa"/>
          </w:tblCellMar>
        </w:tblPrEx>
        <w:trPr>
          <w:trHeight w:val="544" w:hRule="atLeast"/>
        </w:trPr>
        <w:tc>
          <w:tcPr>
            <w:tcW w:w="129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835" w:type="pct"/>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0" w:type="dxa"/>
            <w:left w:w="108" w:type="dxa"/>
            <w:bottom w:w="0" w:type="dxa"/>
            <w:right w:w="108" w:type="dxa"/>
          </w:tblCellMar>
        </w:tblPrEx>
        <w:trPr>
          <w:trHeight w:val="2218" w:hRule="atLeast"/>
        </w:trPr>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4694" w:type="pct"/>
            <w:gridSpan w:val="4"/>
            <w:tcBorders>
              <w:top w:val="single" w:color="000000" w:sz="4" w:space="0"/>
              <w:left w:val="single" w:color="000000" w:sz="4" w:space="0"/>
              <w:bottom w:val="single" w:color="000000" w:sz="4" w:space="0"/>
              <w:right w:val="single" w:color="000000" w:sz="4" w:space="0"/>
            </w:tcBorders>
            <w:shd w:val="clear" w:color="auto" w:fill="auto"/>
          </w:tcPr>
          <w:p>
            <w:pPr>
              <w:widowControl/>
              <w:textAlignment w:val="top"/>
              <w:rPr>
                <w:rFonts w:hint="eastAsia" w:ascii="宋体" w:hAnsi="宋体" w:eastAsia="宋体" w:cs="宋体"/>
                <w:color w:val="000000"/>
                <w:kern w:val="0"/>
                <w:sz w:val="24"/>
              </w:rPr>
            </w:pPr>
            <w:r>
              <w:rPr>
                <w:rFonts w:hint="eastAsia" w:ascii="宋体" w:hAnsi="宋体" w:eastAsia="宋体" w:cs="宋体"/>
                <w:color w:val="000000"/>
                <w:kern w:val="0"/>
                <w:sz w:val="24"/>
              </w:rPr>
              <w:t>按照现行伙食费规定要求及保障标准，保障</w:t>
            </w:r>
            <w:r>
              <w:rPr>
                <w:rFonts w:hint="eastAsia" w:ascii="宋体" w:hAnsi="宋体" w:eastAsia="宋体" w:cs="宋体"/>
                <w:color w:val="000000"/>
                <w:kern w:val="0"/>
                <w:sz w:val="24"/>
                <w:lang w:val="en-US" w:eastAsia="zh-CN"/>
              </w:rPr>
              <w:t>政府专职</w:t>
            </w:r>
            <w:r>
              <w:rPr>
                <w:rFonts w:hint="eastAsia" w:ascii="宋体" w:hAnsi="宋体" w:eastAsia="宋体" w:cs="宋体"/>
                <w:color w:val="000000"/>
                <w:kern w:val="0"/>
                <w:sz w:val="24"/>
              </w:rPr>
              <w:t>消防救援人员每日伙食需要，厉行勤俭节约，科学调剂伙食，丰富野战应急食品种类，补充库存数量，夯实应急救援饮食保障基础。</w:t>
            </w:r>
          </w:p>
        </w:tc>
      </w:tr>
      <w:tr>
        <w:tblPrEx>
          <w:tblCellMar>
            <w:top w:w="0" w:type="dxa"/>
            <w:left w:w="108" w:type="dxa"/>
            <w:bottom w:w="0" w:type="dxa"/>
            <w:right w:w="108" w:type="dxa"/>
          </w:tblCellMar>
        </w:tblPrEx>
        <w:trPr>
          <w:trHeight w:val="570" w:hRule="atLeast"/>
        </w:trPr>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306"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600"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687"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39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rPr>
              <w:t>伙食保障人数</w:t>
            </w:r>
          </w:p>
        </w:tc>
        <w:tc>
          <w:tcPr>
            <w:tcW w:w="39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w:t>
            </w:r>
            <w:r>
              <w:rPr>
                <w:rFonts w:hint="eastAsia" w:ascii="宋体" w:hAnsi="宋体" w:eastAsia="宋体" w:cs="宋体"/>
                <w:color w:val="000000"/>
                <w:kern w:val="0"/>
                <w:sz w:val="24"/>
                <w:lang w:val="en-US" w:eastAsia="zh-CN"/>
              </w:rPr>
              <w:t>2</w:t>
            </w:r>
            <w:r>
              <w:rPr>
                <w:rFonts w:hint="eastAsia" w:ascii="宋体" w:hAnsi="宋体" w:eastAsia="宋体" w:cs="宋体"/>
                <w:color w:val="000000"/>
                <w:kern w:val="0"/>
                <w:sz w:val="24"/>
              </w:rPr>
              <w:t>名</w:t>
            </w:r>
          </w:p>
        </w:tc>
      </w:tr>
      <w:tr>
        <w:tblPrEx>
          <w:tblCellMar>
            <w:top w:w="0" w:type="dxa"/>
            <w:left w:w="108" w:type="dxa"/>
            <w:bottom w:w="0" w:type="dxa"/>
            <w:right w:w="108" w:type="dxa"/>
          </w:tblCellMar>
        </w:tblPrEx>
        <w:trPr>
          <w:trHeight w:val="769"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687"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消防员的伙食保障</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lang w:val="en-US" w:eastAsia="zh-CN"/>
              </w:rPr>
              <w:t>41元/人.天*22天*12个月*32人，合计34.64万元</w:t>
            </w:r>
          </w:p>
        </w:tc>
      </w:tr>
      <w:tr>
        <w:tblPrEx>
          <w:tblCellMar>
            <w:top w:w="0" w:type="dxa"/>
            <w:left w:w="108" w:type="dxa"/>
            <w:bottom w:w="0" w:type="dxa"/>
            <w:right w:w="108" w:type="dxa"/>
          </w:tblCellMar>
        </w:tblPrEx>
        <w:trPr>
          <w:trHeight w:val="600"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687"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配送时效性</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按时按质按量保障100%</w:t>
            </w:r>
          </w:p>
        </w:tc>
      </w:tr>
      <w:tr>
        <w:tblPrEx>
          <w:tblCellMar>
            <w:top w:w="0" w:type="dxa"/>
            <w:left w:w="108" w:type="dxa"/>
            <w:bottom w:w="0" w:type="dxa"/>
            <w:right w:w="108" w:type="dxa"/>
          </w:tblCellMar>
        </w:tblPrEx>
        <w:trPr>
          <w:trHeight w:val="802"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687"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经费支出</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34.64万元</w:t>
            </w:r>
          </w:p>
        </w:tc>
      </w:tr>
      <w:tr>
        <w:tblPrEx>
          <w:tblCellMar>
            <w:top w:w="0" w:type="dxa"/>
            <w:left w:w="108" w:type="dxa"/>
            <w:bottom w:w="0" w:type="dxa"/>
            <w:right w:w="108" w:type="dxa"/>
          </w:tblCellMar>
        </w:tblPrEx>
        <w:trPr>
          <w:trHeight w:val="600"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tcBorders>
              <w:top w:val="nil"/>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687"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eastAsia="zh-CN"/>
              </w:rPr>
              <w:t>物资补给保障</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通过实施伙食费项目，及时补充</w:t>
            </w:r>
            <w:r>
              <w:rPr>
                <w:rFonts w:hint="eastAsia" w:ascii="宋体" w:hAnsi="宋体" w:eastAsia="宋体" w:cs="宋体"/>
                <w:color w:val="000000"/>
                <w:kern w:val="0"/>
                <w:sz w:val="24"/>
                <w:lang w:val="en-US" w:eastAsia="zh-CN"/>
              </w:rPr>
              <w:t>专职</w:t>
            </w:r>
            <w:r>
              <w:rPr>
                <w:rFonts w:hint="eastAsia" w:ascii="宋体" w:hAnsi="宋体" w:eastAsia="宋体" w:cs="宋体"/>
                <w:color w:val="000000"/>
                <w:kern w:val="0"/>
                <w:sz w:val="24"/>
              </w:rPr>
              <w:t>消防救援人员的膳食营养，为提升战斗力奠定基础</w:t>
            </w:r>
          </w:p>
        </w:tc>
      </w:tr>
      <w:tr>
        <w:tblPrEx>
          <w:tblCellMar>
            <w:top w:w="0" w:type="dxa"/>
            <w:left w:w="108" w:type="dxa"/>
            <w:bottom w:w="0" w:type="dxa"/>
            <w:right w:w="108" w:type="dxa"/>
          </w:tblCellMar>
        </w:tblPrEx>
        <w:trPr>
          <w:trHeight w:val="1140" w:hRule="atLeast"/>
        </w:trPr>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8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专职</w:t>
            </w:r>
            <w:r>
              <w:rPr>
                <w:rFonts w:hint="eastAsia" w:ascii="宋体" w:hAnsi="宋体" w:eastAsia="宋体" w:cs="宋体"/>
                <w:color w:val="000000"/>
                <w:kern w:val="0"/>
                <w:sz w:val="24"/>
                <w:lang w:eastAsia="zh-CN"/>
              </w:rPr>
              <w:t>消防救援人员对伙食满意度</w:t>
            </w:r>
          </w:p>
        </w:tc>
        <w:tc>
          <w:tcPr>
            <w:tcW w:w="18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≥90%</w:t>
            </w:r>
          </w:p>
        </w:tc>
      </w:tr>
    </w:tbl>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0A"/>
    <w:rsid w:val="005D3633"/>
    <w:rsid w:val="007941FE"/>
    <w:rsid w:val="00F3430A"/>
    <w:rsid w:val="03CF09C7"/>
    <w:rsid w:val="05B6399F"/>
    <w:rsid w:val="0626380A"/>
    <w:rsid w:val="0A692F40"/>
    <w:rsid w:val="113B0C7C"/>
    <w:rsid w:val="141F00F5"/>
    <w:rsid w:val="1EC60DF8"/>
    <w:rsid w:val="2A932C28"/>
    <w:rsid w:val="34B93FC9"/>
    <w:rsid w:val="3E574C2F"/>
    <w:rsid w:val="405A5557"/>
    <w:rsid w:val="49A04F42"/>
    <w:rsid w:val="4B666E19"/>
    <w:rsid w:val="4C003D2C"/>
    <w:rsid w:val="5BDE1BAA"/>
    <w:rsid w:val="5F6C789E"/>
    <w:rsid w:val="666F27DD"/>
    <w:rsid w:val="67A65B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01"/>
    <w:basedOn w:val="5"/>
    <w:qFormat/>
    <w:uiPriority w:val="0"/>
    <w:rPr>
      <w:rFonts w:hint="default" w:ascii="Times New Roman" w:hAnsi="Times New Roman" w:cs="Times New Roman"/>
      <w:color w:val="000000"/>
      <w:sz w:val="24"/>
      <w:szCs w:val="24"/>
      <w:u w:val="none"/>
    </w:rPr>
  </w:style>
  <w:style w:type="character" w:customStyle="1" w:styleId="7">
    <w:name w:val="font41"/>
    <w:basedOn w:val="5"/>
    <w:qFormat/>
    <w:uiPriority w:val="0"/>
    <w:rPr>
      <w:rFonts w:hint="eastAsia" w:ascii="宋体" w:hAnsi="宋体" w:eastAsia="宋体" w:cs="宋体"/>
      <w:color w:val="000000"/>
      <w:sz w:val="24"/>
      <w:szCs w:val="24"/>
      <w:u w:val="none"/>
    </w:rPr>
  </w:style>
  <w:style w:type="character" w:customStyle="1" w:styleId="8">
    <w:name w:val="font21"/>
    <w:basedOn w:val="5"/>
    <w:qFormat/>
    <w:uiPriority w:val="0"/>
    <w:rPr>
      <w:rFonts w:hint="eastAsia" w:ascii="宋体" w:hAnsi="宋体" w:eastAsia="宋体" w:cs="宋体"/>
      <w:color w:val="000000"/>
      <w:sz w:val="24"/>
      <w:szCs w:val="24"/>
      <w:u w:val="none"/>
    </w:rPr>
  </w:style>
  <w:style w:type="character" w:customStyle="1" w:styleId="9">
    <w:name w:val="页眉 Char"/>
    <w:basedOn w:val="5"/>
    <w:link w:val="3"/>
    <w:qFormat/>
    <w:uiPriority w:val="0"/>
    <w:rPr>
      <w:rFonts w:asciiTheme="minorHAnsi" w:hAnsiTheme="minorHAnsi" w:eastAsiaTheme="minorEastAsia" w:cstheme="minorBidi"/>
      <w:kern w:val="2"/>
      <w:sz w:val="18"/>
      <w:szCs w:val="18"/>
    </w:rPr>
  </w:style>
  <w:style w:type="character" w:customStyle="1" w:styleId="10">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274cfd9e-0581-4b90-b263-89d281414ecf</errorID>
      <errorWord>:</errorWord>
      <group>L1_Format</group>
      <groupName>格式问题</groupName>
      <ability>L2_HalfPunc</ability>
      <abilityName>全半角检查</abilityName>
      <candidateList>
        <item>：</item>
      </candidateList>
      <explain>文本全半角错误。</explain>
      <paraID>14C8D146</paraID>
      <start>7</start>
      <end>8</end>
      <status>modified</status>
      <modifiedWord>：</modifiedWord>
      <trackRevisions>false</trackRevisions>
    </reviewItem>
    <reviewItem>
      <errorID>ee159a51-9b88-460f-af78-d2c4bd251ead</errorID>
      <errorWord>性综合</errorWord>
      <group>L1_AI</group>
      <groupName>深度校对</groupName>
      <ability>L2_AI_Word</ability>
      <abilityName>字词纠错</abilityName>
      <candidateList>
        <item>综合性</item>
      </candidateList>
      <explain/>
      <paraID>344BBD15</paraID>
      <start>21</start>
      <end>24</end>
      <status>modified</status>
      <modifiedWord>综合性</modifiedWord>
      <trackRevisions>false</trackRevisions>
    </reviewItem>
    <reviewItem>
      <errorID>b630c2fe-ae6d-4e15-9ab6-07b72d045151</errorID>
      <errorWord>,</errorWord>
      <group>L1_Format</group>
      <groupName>格式问题</groupName>
      <ability>L2_HalfPunc</ability>
      <abilityName>全半角检查</abilityName>
      <candidateList>
        <item>，</item>
      </candidateList>
      <explain>文本全半角错误。</explain>
      <paraID>344BBD15</paraID>
      <start>53</start>
      <end>54</end>
      <status>modified</status>
      <modifiedWord>，</modifiedWord>
      <trackRevisions>false</trackRevisions>
    </reviewItem>
    <reviewItem>
      <errorID>5361e264-065e-481c-952d-cffacfd5c15c</errorID>
      <errorWord>力量</errorWord>
      <group>L1_AI</group>
      <groupName>深度校对</groupName>
      <ability>L2_AI_Word</ability>
      <abilityName>字词纠错</abilityName>
      <candidateList>
        <item>建设</item>
      </candidateList>
      <explain/>
      <paraID>344BBD15</paraID>
      <start>103</start>
      <end>105</end>
      <status>ignored</status>
      <modifiedWord/>
      <trackRevisions>false</trackRevisions>
    </reviewItem>
    <reviewItem>
      <errorID>49003f38-33f2-48f0-b4a2-1a0207cd1a90</errorID>
      <errorWord>及</errorWord>
      <group>L1_AI</group>
      <groupName>深度校对</groupName>
      <ability>L2_AI_Grammar</ability>
      <abilityName>语法纠错</abilityName>
      <candidateList>
        <item>，协助开展</item>
      </candidateList>
      <explain/>
      <paraID>344BBD15</paraID>
      <start>155</start>
      <end>156</end>
      <status>ignored</status>
      <modifiedWord/>
      <trackRevisions>false</trackRevisions>
    </reviewItem>
    <reviewItem>
      <errorID>88c54155-5e10-401d-9f68-ac268bcb8a3e</errorID>
      <errorWord>后勤工作展开</errorWord>
      <group>L1_AI</group>
      <groupName>深度校对</groupName>
      <ability>L2_AI_Grammar</ability>
      <abilityName>语法纠错</abilityName>
      <candidateList>
        <item>后勤工作</item>
      </candidateList>
      <explain/>
      <paraID>344BBD15</paraID>
      <start>161</start>
      <end>167</end>
      <status>ignored</status>
      <modifiedWord/>
      <trackRevisions>false</trackRevisions>
    </reviewItem>
    <reviewItem>
      <errorID>674a0c0b-eb3e-4d48-8e33-fcf5691f4cf2</errorID>
      <errorWord>，协助</errorWord>
      <group>L1_AI</group>
      <groupName>深度校对</groupName>
      <ability>L2_AI_Grammar</ability>
      <abilityName>语法纠错</abilityName>
      <candidateList>
        <item>，</item>
      </candidateList>
      <explain/>
      <paraID>344BBD15</paraID>
      <start>167</start>
      <end>168</end>
      <status>modified</status>
      <modifiedWord>，</modifiedWord>
      <trackRevisions>false</trackRevisions>
    </reviewItem>
    <reviewItem>
      <errorID>8a10ae4c-e82e-438b-a80a-66c55d1a6d59</errorID>
      <errorWord>党委政府</errorWord>
      <group>L1_Political</group>
      <groupName>政治性问题</groupName>
      <ability>L2_Keyword</ability>
      <abilityName>固定表述</abilityName>
      <candidateList>
        <item>党委、政府</item>
      </candidateList>
      <explain>注意检查当前固定表述标点是否使用规范。</explain>
      <paraID>25DCED89</paraID>
      <start>0</start>
      <end>5</end>
      <status>modified</status>
      <modifiedWord>党委、政府</modifiedWord>
      <trackRevisions>false</trackRevisions>
    </reviewItem>
    <reviewItem>
      <errorID>7532aea4-657d-458b-ab60-fa135cc0b587</errorID>
      <errorWord>:</errorWord>
      <group>L1_Format</group>
      <groupName>格式问题</groupName>
      <ability>L2_HalfPunc</ability>
      <abilityName>全半角检查</abilityName>
      <candidateList>
        <item>：</item>
      </candidateList>
      <explain>文本全半角错误。</explain>
      <paraID>218C85E6</paraID>
      <start>7</start>
      <end>8</end>
      <status>modified</status>
      <modifiedWord>：</modifiedWord>
      <trackRevisions>false</trackRevisions>
    </reviewItem>
    <reviewItem>
      <errorID>652ca8ea-a875-413f-abf4-0621074ed289</errorID>
      <errorWord>党委政府</errorWord>
      <group>L1_Political</group>
      <groupName>政治性问题</groupName>
      <ability>L2_Keyword</ability>
      <abilityName>固定表述</abilityName>
      <candidateList>
        <item>党委、政府</item>
      </candidateList>
      <explain>注意检查当前固定表述标点是否使用规范。</explain>
      <paraID>1F60DD7B</paraID>
      <start>0</start>
      <end>5</end>
      <status>modified</status>
      <modifiedWord>党委、政府</modifiedWord>
      <trackRevisions>false</trackRevisions>
    </reviewItem>
    <reviewItem>
      <errorID>49530772-8041-47c8-a75d-2810ab1457fd</errorID>
      <errorWord>:</errorWord>
      <group>L1_Format</group>
      <groupName>格式问题</groupName>
      <ability>L2_HalfPunc</ability>
      <abilityName>全半角检查</abilityName>
      <candidateList>
        <item>：</item>
      </candidateList>
      <explain>文本全半角错误。</explain>
      <paraID>43A4384B</paraID>
      <start>7</start>
      <end>8</end>
      <status>modified</status>
      <modifiedWord>：</modifiedWord>
      <trackRevisions>false</trackRevisions>
    </reviewItem>
    <reviewItem>
      <errorID>06ab4dc1-f5eb-43c1-8db1-4d33dbb26542</errorID>
      <errorWord>刷</errorWord>
      <group>L1_Word</group>
      <groupName>字词问题</groupName>
      <ability>L2_Typo</ability>
      <abilityName>字词错误</abilityName>
      <candidateList>
        <item>刷费</item>
      </candidateList>
      <explain/>
      <paraID>37615ADD</paraID>
      <start>95</start>
      <end>97</end>
      <status>modified</status>
      <modifiedWord>刷费</modifiedWord>
      <trackRevisions>false</trackRevisions>
    </reviewItem>
    <reviewItem>
      <errorID>b1f29c3c-0ae5-4ede-bf98-d3e1574d7b4d</errorID>
      <errorWord>党委政府</errorWord>
      <group>L1_Political</group>
      <groupName>政治性问题</groupName>
      <ability>L2_Keyword</ability>
      <abilityName>固定表述</abilityName>
      <candidateList>
        <item>党委、政府</item>
      </candidateList>
      <explain>注意检查当前固定表述标点是否使用规范。</explain>
      <paraID>579C9BB5</paraID>
      <start>0</start>
      <end>5</end>
      <status>modified</status>
      <modifiedWord>党委、政府</modifiedWord>
      <trackRevisions>false</trackRevisions>
    </reviewItem>
  </reviewItems>
  <config/>
</contractReview>
</file>

<file path=customXml/itemProps1.xml><?xml version="1.0" encoding="utf-8"?>
<ds:datastoreItem xmlns:ds="http://schemas.openxmlformats.org/officeDocument/2006/customXml" ds:itemID="{c1c35816-03a7-486a-8024-18a88fb635d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1593</Words>
  <Characters>1652</Characters>
  <Lines>2</Lines>
  <Paragraphs>2</Paragraphs>
  <TotalTime>0</TotalTime>
  <ScaleCrop>false</ScaleCrop>
  <LinksUpToDate>false</LinksUpToDate>
  <CharactersWithSpaces>1715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2026-01-12T02:39:00Z</dcterms:created>
  <dc:creator>Administrator</dc:creator>
  <cp:lastModifiedBy>谢高文</cp:lastModifiedBy>
  <cp:lastPrinted>2026-01-12T09:56:00Z</cp:lastPrinted>
  <dcterms:modified xsi:type="dcterms:W3CDTF">2026-01-20T02:42:21Z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803815288C114FF888EE10844261342A_13</vt:lpwstr>
  </property>
  <property fmtid="{D5CDD505-2E9C-101B-9397-08002B2CF9AE}" pid="4" name="KSOTemplateDocerSaveRecord">
    <vt:lpwstr>eyJoZGlkIjoiMTlmMGI3M2E0ODc5ZDMxNzRhNWNiNDgwMzhmOGQyZDkiLCJ1c2VySWQiOiIzODU0Mzc1OTgifQ==</vt:lpwstr>
  </property>
</Properties>
</file>